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5D7B5" w14:textId="2FB1F4E7" w:rsidR="000E4D69" w:rsidRPr="0052548E" w:rsidRDefault="000E4D69" w:rsidP="000E4D69">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Ad-Hoc Meeting 1901</w:t>
      </w:r>
      <w:r>
        <w:rPr>
          <w:rFonts w:cs="Arial"/>
          <w:b/>
          <w:bCs/>
          <w:sz w:val="28"/>
        </w:rPr>
        <w:tab/>
      </w:r>
      <w:r>
        <w:rPr>
          <w:rFonts w:cs="Arial"/>
          <w:b/>
          <w:bCs/>
          <w:sz w:val="28"/>
        </w:rPr>
        <w:tab/>
      </w:r>
      <w:bookmarkStart w:id="0" w:name="_GoBack"/>
      <w:bookmarkEnd w:id="0"/>
      <w:r w:rsidRPr="000E4D69">
        <w:rPr>
          <w:rFonts w:cs="Arial"/>
          <w:b/>
          <w:bCs/>
          <w:sz w:val="28"/>
        </w:rPr>
        <w:t>R1-19</w:t>
      </w:r>
      <w:r w:rsidRPr="000E4D69">
        <w:rPr>
          <w:rFonts w:cs="Arial"/>
          <w:b/>
          <w:bCs/>
          <w:sz w:val="28"/>
        </w:rPr>
        <w:t>00447</w:t>
      </w:r>
    </w:p>
    <w:p w14:paraId="1CD10BE7" w14:textId="77777777" w:rsidR="000E4D69" w:rsidRPr="009513AC" w:rsidRDefault="000E4D69" w:rsidP="000E4D69">
      <w:pPr>
        <w:tabs>
          <w:tab w:val="center" w:pos="4536"/>
          <w:tab w:val="right" w:pos="9072"/>
        </w:tabs>
        <w:rPr>
          <w:rFonts w:eastAsia="MS Mincho" w:cs="Arial"/>
          <w:b/>
          <w:bCs/>
          <w:sz w:val="28"/>
          <w:lang w:eastAsia="ja-JP"/>
        </w:rPr>
      </w:pPr>
      <w:r>
        <w:rPr>
          <w:rFonts w:eastAsia="MS Mincho" w:cs="Arial"/>
          <w:b/>
          <w:bCs/>
          <w:sz w:val="28"/>
          <w:lang w:eastAsia="ja-JP"/>
        </w:rPr>
        <w:t>Taipei, Taiwan, 21</w:t>
      </w:r>
      <w:r w:rsidRPr="002826AF">
        <w:rPr>
          <w:rFonts w:eastAsia="MS Mincho" w:cs="Arial"/>
          <w:b/>
          <w:bCs/>
          <w:sz w:val="28"/>
          <w:vertAlign w:val="superscript"/>
          <w:lang w:eastAsia="ja-JP"/>
        </w:rPr>
        <w:t>st</w:t>
      </w:r>
      <w:r>
        <w:rPr>
          <w:rFonts w:eastAsia="MS Mincho" w:cs="Arial"/>
          <w:b/>
          <w:bCs/>
          <w:sz w:val="28"/>
          <w:lang w:eastAsia="ja-JP"/>
        </w:rPr>
        <w:t xml:space="preserve"> – 25</w:t>
      </w:r>
      <w:r w:rsidRPr="002826AF">
        <w:rPr>
          <w:rFonts w:eastAsia="MS Mincho" w:cs="Arial"/>
          <w:b/>
          <w:bCs/>
          <w:sz w:val="28"/>
          <w:vertAlign w:val="superscript"/>
          <w:lang w:eastAsia="ja-JP"/>
        </w:rPr>
        <w:t>th</w:t>
      </w:r>
      <w:r>
        <w:rPr>
          <w:rFonts w:eastAsia="MS Mincho" w:cs="Arial"/>
          <w:b/>
          <w:bCs/>
          <w:sz w:val="28"/>
          <w:lang w:eastAsia="ja-JP"/>
        </w:rPr>
        <w:t xml:space="preserve"> January, 2019</w:t>
      </w:r>
    </w:p>
    <w:p w14:paraId="153F6BA5" w14:textId="77777777" w:rsidR="0060603E" w:rsidRPr="005D2C51" w:rsidRDefault="0060603E" w:rsidP="0060603E">
      <w:pPr>
        <w:tabs>
          <w:tab w:val="left" w:pos="567"/>
        </w:tabs>
        <w:rPr>
          <w:rStyle w:val="apple-style-span"/>
          <w:rFonts w:cs="Arial"/>
          <w:sz w:val="16"/>
          <w:szCs w:val="16"/>
        </w:rPr>
      </w:pPr>
    </w:p>
    <w:p w14:paraId="3D115269" w14:textId="2076901D"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BF0851">
        <w:rPr>
          <w:b/>
          <w:sz w:val="24"/>
          <w:szCs w:val="24"/>
        </w:rPr>
        <w:t>7.2.4.3.1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4F5DF0A"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B6A24" w:rsidRPr="001B6A24">
        <w:rPr>
          <w:b/>
          <w:sz w:val="24"/>
          <w:szCs w:val="24"/>
        </w:rPr>
        <w:t>Enhancements o</w:t>
      </w:r>
      <w:r w:rsidR="006338FB">
        <w:rPr>
          <w:b/>
          <w:sz w:val="24"/>
          <w:szCs w:val="24"/>
        </w:rPr>
        <w:t>f Uu to control</w:t>
      </w:r>
      <w:r w:rsidR="001B6A24" w:rsidRPr="001B6A24">
        <w:rPr>
          <w:b/>
          <w:sz w:val="24"/>
          <w:szCs w:val="24"/>
        </w:rPr>
        <w:t xml:space="preserve">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0AB0A2FF" w14:textId="4589BFCB" w:rsidR="00451D19" w:rsidRDefault="00451D19"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In RAN1#95, big progress has been made on UU controlled sidelink transmission. </w:t>
      </w:r>
    </w:p>
    <w:p w14:paraId="35112428" w14:textId="77777777" w:rsidR="00451D19" w:rsidRDefault="00451D19" w:rsidP="005852D8">
      <w:pPr>
        <w:pStyle w:val="maintext"/>
        <w:ind w:firstLineChars="0" w:firstLine="0"/>
        <w:rPr>
          <w:rFonts w:ascii="Calibri" w:eastAsiaTheme="minorEastAsia" w:hAnsi="Calibri"/>
          <w:lang w:eastAsia="zh-CN"/>
        </w:rPr>
      </w:pPr>
    </w:p>
    <w:p w14:paraId="6DA4E9AC" w14:textId="77777777" w:rsidR="00451D19" w:rsidRPr="00A22173" w:rsidRDefault="00451D19" w:rsidP="00451D19">
      <w:pPr>
        <w:rPr>
          <w:lang w:eastAsia="x-none"/>
        </w:rPr>
      </w:pPr>
      <w:r w:rsidRPr="00A22173">
        <w:rPr>
          <w:highlight w:val="green"/>
          <w:lang w:eastAsia="x-none"/>
        </w:rPr>
        <w:t>Agreements</w:t>
      </w:r>
      <w:r w:rsidRPr="00A22173">
        <w:rPr>
          <w:lang w:eastAsia="x-none"/>
        </w:rPr>
        <w:t>:</w:t>
      </w:r>
    </w:p>
    <w:p w14:paraId="6AA54ED6" w14:textId="77777777" w:rsidR="00451D19" w:rsidRPr="00A22173" w:rsidRDefault="00451D19" w:rsidP="00451D19">
      <w:r w:rsidRPr="00A22173">
        <w:t>The following NR sidelink resource allocation techniques by NR Uu for mode-1 are supported:</w:t>
      </w:r>
    </w:p>
    <w:p w14:paraId="62CE628C" w14:textId="77777777" w:rsidR="00451D19" w:rsidRPr="00A22173" w:rsidRDefault="00451D19" w:rsidP="00451D19">
      <w:pPr>
        <w:pStyle w:val="ListParagraph"/>
        <w:numPr>
          <w:ilvl w:val="0"/>
          <w:numId w:val="18"/>
        </w:numPr>
        <w:spacing w:before="0" w:after="160" w:line="259" w:lineRule="auto"/>
        <w:jc w:val="left"/>
        <w:rPr>
          <w:rFonts w:ascii="Times New Roman" w:hAnsi="Times New Roman"/>
        </w:rPr>
      </w:pPr>
      <w:r w:rsidRPr="00A22173">
        <w:rPr>
          <w:rFonts w:ascii="Times New Roman" w:hAnsi="Times New Roman"/>
        </w:rPr>
        <w:t>Dynamic resource allocation</w:t>
      </w:r>
    </w:p>
    <w:p w14:paraId="22A789E6" w14:textId="77777777" w:rsidR="00451D19" w:rsidRPr="00A22173" w:rsidRDefault="00451D19" w:rsidP="00451D19">
      <w:pPr>
        <w:pStyle w:val="ListParagraph"/>
        <w:numPr>
          <w:ilvl w:val="0"/>
          <w:numId w:val="18"/>
        </w:numPr>
        <w:spacing w:before="0" w:after="160" w:line="259" w:lineRule="auto"/>
        <w:jc w:val="left"/>
        <w:rPr>
          <w:rFonts w:ascii="Times New Roman" w:hAnsi="Times New Roman"/>
        </w:rPr>
      </w:pPr>
      <w:r w:rsidRPr="00A22173">
        <w:rPr>
          <w:rFonts w:ascii="Times New Roman" w:hAnsi="Times New Roman"/>
        </w:rPr>
        <w:t xml:space="preserve">Configured grant. </w:t>
      </w:r>
    </w:p>
    <w:p w14:paraId="10620BC2" w14:textId="77777777" w:rsidR="00451D19" w:rsidRPr="00A22173" w:rsidRDefault="00451D19" w:rsidP="00451D19">
      <w:pPr>
        <w:pStyle w:val="ListParagraph"/>
        <w:numPr>
          <w:ilvl w:val="1"/>
          <w:numId w:val="18"/>
        </w:numPr>
        <w:spacing w:before="0" w:after="160" w:line="259" w:lineRule="auto"/>
        <w:jc w:val="left"/>
        <w:rPr>
          <w:rFonts w:ascii="Times New Roman" w:hAnsi="Times New Roman"/>
        </w:rPr>
      </w:pPr>
      <w:r w:rsidRPr="00A22173">
        <w:rPr>
          <w:rFonts w:ascii="Times New Roman" w:hAnsi="Times New Roman"/>
        </w:rPr>
        <w:t xml:space="preserve">FFS whether type-1 and/or type-2 </w:t>
      </w:r>
    </w:p>
    <w:p w14:paraId="7E5011EA" w14:textId="3569C0AB" w:rsidR="009052CA" w:rsidRPr="00313BF4" w:rsidRDefault="00FE6211"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 </w:t>
      </w:r>
    </w:p>
    <w:p w14:paraId="1B039BD0" w14:textId="0894610A" w:rsidR="0013407F" w:rsidRDefault="0013407F" w:rsidP="00A97B5A">
      <w:pPr>
        <w:pStyle w:val="maintext"/>
        <w:ind w:firstLineChars="0" w:firstLine="0"/>
        <w:rPr>
          <w:rFonts w:ascii="Calibri" w:hAnsi="Calibri"/>
          <w:b/>
          <w:lang w:val="en-US"/>
        </w:rPr>
      </w:pPr>
    </w:p>
    <w:p w14:paraId="35D2A8A4" w14:textId="0C1C9A7B" w:rsidR="007B0CA9" w:rsidRPr="007B0CA9" w:rsidRDefault="00AD1894"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NR </w:t>
      </w:r>
      <w:r w:rsidR="00A473A2">
        <w:rPr>
          <w:rFonts w:eastAsia="SimSun"/>
          <w:b w:val="0"/>
          <w:sz w:val="36"/>
          <w:lang w:val="en-GB" w:eastAsia="zh-CN"/>
        </w:rPr>
        <w:t xml:space="preserve">UU enhancement to control </w:t>
      </w:r>
      <w:r w:rsidR="00084899">
        <w:rPr>
          <w:rFonts w:eastAsia="SimSun"/>
          <w:b w:val="0"/>
          <w:sz w:val="36"/>
          <w:lang w:val="en-GB" w:eastAsia="zh-CN"/>
        </w:rPr>
        <w:t xml:space="preserve">NR and </w:t>
      </w:r>
      <w:r w:rsidR="00A473A2">
        <w:rPr>
          <w:rFonts w:eastAsia="SimSun"/>
          <w:b w:val="0"/>
          <w:sz w:val="36"/>
          <w:lang w:val="en-GB" w:eastAsia="zh-CN"/>
        </w:rPr>
        <w:t>LTE</w:t>
      </w:r>
      <w:r w:rsidR="00632206">
        <w:rPr>
          <w:rFonts w:eastAsia="SimSun"/>
          <w:b w:val="0"/>
          <w:sz w:val="36"/>
          <w:lang w:val="en-GB" w:eastAsia="zh-CN"/>
        </w:rPr>
        <w:t xml:space="preserve"> sidelink</w:t>
      </w:r>
    </w:p>
    <w:p w14:paraId="199173A7" w14:textId="484080CE" w:rsidR="00F20D44" w:rsidRDefault="00E26FAE" w:rsidP="00E26FAE">
      <w:pPr>
        <w:pStyle w:val="maintext"/>
        <w:ind w:firstLineChars="0" w:firstLine="0"/>
        <w:rPr>
          <w:rFonts w:ascii="Calibri" w:hAnsi="Calibri"/>
        </w:rPr>
      </w:pPr>
      <w:r w:rsidRPr="00E26FAE">
        <w:rPr>
          <w:rFonts w:ascii="Calibri" w:hAnsi="Calibri"/>
        </w:rPr>
        <w:t xml:space="preserve">Dual connectivity </w:t>
      </w:r>
      <w:r>
        <w:rPr>
          <w:rFonts w:ascii="Calibri" w:hAnsi="Calibri"/>
        </w:rPr>
        <w:t>between LTE and NR has been suppo</w:t>
      </w:r>
      <w:r w:rsidR="00A473A2">
        <w:rPr>
          <w:rFonts w:ascii="Calibri" w:hAnsi="Calibri"/>
        </w:rPr>
        <w:t>rted in access link, e.g. EN-DC, where LTE is considered as MCG and NR as SCG. Similar dual connectivity can be considered for NR UU to control LTE sidelink</w:t>
      </w:r>
      <w:r w:rsidR="007A553F">
        <w:rPr>
          <w:rFonts w:ascii="Calibri" w:hAnsi="Calibri"/>
        </w:rPr>
        <w:t xml:space="preserve">. In particular, LTE </w:t>
      </w:r>
      <w:r w:rsidR="00F47194">
        <w:rPr>
          <w:rFonts w:ascii="Calibri" w:hAnsi="Calibri"/>
        </w:rPr>
        <w:t xml:space="preserve">or NR </w:t>
      </w:r>
      <w:r w:rsidR="007A553F">
        <w:rPr>
          <w:rFonts w:ascii="Calibri" w:hAnsi="Calibri"/>
        </w:rPr>
        <w:t xml:space="preserve">sidelink can be considered as a </w:t>
      </w:r>
      <w:r w:rsidR="00F47194">
        <w:rPr>
          <w:rFonts w:ascii="Calibri" w:hAnsi="Calibri"/>
        </w:rPr>
        <w:t xml:space="preserve">SCG while </w:t>
      </w:r>
      <w:r w:rsidR="0054209F">
        <w:rPr>
          <w:rFonts w:ascii="Calibri" w:hAnsi="Calibri"/>
        </w:rPr>
        <w:t xml:space="preserve">NR </w:t>
      </w:r>
      <w:r w:rsidR="00F47194">
        <w:rPr>
          <w:rFonts w:ascii="Calibri" w:hAnsi="Calibri"/>
        </w:rPr>
        <w:t xml:space="preserve">uu interface is the MCG. </w:t>
      </w:r>
      <w:r w:rsidR="0054209F">
        <w:rPr>
          <w:rFonts w:ascii="Calibri" w:hAnsi="Calibri"/>
        </w:rPr>
        <w:t>In such way, NR UU can control either LTE or NR sidelink just like controlling a</w:t>
      </w:r>
      <w:r w:rsidR="00E61E04">
        <w:rPr>
          <w:rFonts w:ascii="Calibri" w:hAnsi="Calibri"/>
        </w:rPr>
        <w:t>n</w:t>
      </w:r>
      <w:r w:rsidR="0054209F">
        <w:rPr>
          <w:rFonts w:ascii="Calibri" w:hAnsi="Calibri"/>
        </w:rPr>
        <w:t xml:space="preserve"> access link in dual connectivity framework. </w:t>
      </w:r>
    </w:p>
    <w:p w14:paraId="3D905B30" w14:textId="3FEC1F57" w:rsidR="0054209F" w:rsidRDefault="0054209F" w:rsidP="00E26FAE">
      <w:pPr>
        <w:pStyle w:val="maintext"/>
        <w:ind w:firstLineChars="0" w:firstLine="0"/>
        <w:rPr>
          <w:rFonts w:ascii="Calibri" w:hAnsi="Calibri"/>
          <w:b/>
        </w:rPr>
      </w:pPr>
      <w:r w:rsidRPr="0054209F">
        <w:rPr>
          <w:rFonts w:ascii="Calibri" w:hAnsi="Calibri"/>
          <w:b/>
        </w:rPr>
        <w:t>Proposal</w:t>
      </w:r>
      <w:r w:rsidR="005D23F8">
        <w:rPr>
          <w:rFonts w:ascii="Calibri" w:hAnsi="Calibri"/>
          <w:b/>
        </w:rPr>
        <w:t>-1</w:t>
      </w:r>
      <w:r w:rsidRPr="0054209F">
        <w:rPr>
          <w:rFonts w:ascii="Calibri" w:hAnsi="Calibri"/>
          <w:b/>
        </w:rPr>
        <w:t xml:space="preserve">: Dual connectivity framework can support NR UU interface as MCG to control NR and LTE sidelink as SCG. </w:t>
      </w:r>
    </w:p>
    <w:p w14:paraId="22D4C885" w14:textId="77777777" w:rsidR="0073264D" w:rsidRDefault="0073264D" w:rsidP="0073264D">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78AA2B23" w14:textId="4D29FCF1" w:rsidR="0073264D" w:rsidRDefault="0073264D" w:rsidP="0073264D">
      <w:pPr>
        <w:pStyle w:val="maintext"/>
        <w:ind w:firstLineChars="0" w:firstLine="0"/>
        <w:rPr>
          <w:rFonts w:ascii="Calibri" w:hAnsi="Calibri"/>
          <w:b/>
        </w:rPr>
      </w:pPr>
      <w:r w:rsidRPr="0054209F">
        <w:rPr>
          <w:rFonts w:ascii="Calibri" w:hAnsi="Calibri"/>
          <w:b/>
        </w:rPr>
        <w:t>Proposal</w:t>
      </w:r>
      <w:r w:rsidR="005D23F8">
        <w:rPr>
          <w:rFonts w:ascii="Calibri" w:hAnsi="Calibri"/>
          <w:b/>
        </w:rPr>
        <w:t>-2</w:t>
      </w:r>
      <w:r w:rsidRPr="0054209F">
        <w:rPr>
          <w:rFonts w:ascii="Calibri" w:hAnsi="Calibri"/>
          <w:b/>
        </w:rPr>
        <w:t xml:space="preserve">: </w:t>
      </w:r>
      <w:r>
        <w:rPr>
          <w:rFonts w:ascii="Calibri" w:hAnsi="Calibri"/>
          <w:b/>
        </w:rPr>
        <w:t xml:space="preserve">The </w:t>
      </w:r>
      <w:r w:rsidR="00E17065">
        <w:rPr>
          <w:rFonts w:ascii="Calibri" w:hAnsi="Calibri"/>
          <w:b/>
        </w:rPr>
        <w:t>sidelink (between UEs or between local manager and UE)</w:t>
      </w:r>
      <w:r>
        <w:rPr>
          <w:rFonts w:ascii="Calibri" w:hAnsi="Calibri"/>
          <w:b/>
        </w:rPr>
        <w:t xml:space="preserve"> is</w:t>
      </w:r>
      <w:r w:rsidR="00E17065">
        <w:rPr>
          <w:rFonts w:ascii="Calibri" w:hAnsi="Calibri"/>
          <w:b/>
        </w:rPr>
        <w:t xml:space="preserve"> considered as</w:t>
      </w:r>
      <w:r>
        <w:rPr>
          <w:rFonts w:ascii="Calibri" w:hAnsi="Calibri"/>
          <w:b/>
        </w:rPr>
        <w:t xml:space="preserve"> a “diet” connection</w:t>
      </w:r>
      <w:r w:rsidR="00E17065">
        <w:rPr>
          <w:rFonts w:ascii="Calibri" w:hAnsi="Calibri"/>
          <w:b/>
        </w:rPr>
        <w:t xml:space="preserve"> in dual connectivity framework. </w:t>
      </w:r>
    </w:p>
    <w:p w14:paraId="508FB22D" w14:textId="77777777" w:rsidR="00451D19" w:rsidRPr="0073264D" w:rsidRDefault="00451D19" w:rsidP="00E26FAE">
      <w:pPr>
        <w:pStyle w:val="maintext"/>
        <w:ind w:firstLineChars="0" w:firstLine="0"/>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CC79DAD" w14:textId="1E473F2A" w:rsidR="005D23F8"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9E0CBB">
        <w:rPr>
          <w:rFonts w:ascii="Calibri" w:eastAsiaTheme="minorEastAsia" w:hAnsi="Calibri" w:hint="eastAsia"/>
          <w:lang w:eastAsia="zh-CN"/>
        </w:rPr>
        <w:t xml:space="preserve">proposed </w:t>
      </w:r>
      <w:r w:rsidR="00CC683E">
        <w:rPr>
          <w:rFonts w:ascii="Calibri" w:eastAsiaTheme="minorEastAsia" w:hAnsi="Calibri"/>
          <w:lang w:eastAsia="zh-CN"/>
        </w:rPr>
        <w:t>to use dual-</w:t>
      </w:r>
      <w:r w:rsidR="005D23F8">
        <w:rPr>
          <w:rFonts w:ascii="Calibri" w:eastAsiaTheme="minorEastAsia" w:hAnsi="Calibri"/>
          <w:lang w:eastAsia="zh-CN"/>
        </w:rPr>
        <w:t>connectivity framework to let NR uu interface to control both NR and LTE sidelink, more specifically, we have the following proposals:</w:t>
      </w:r>
    </w:p>
    <w:p w14:paraId="25C5547E" w14:textId="77777777" w:rsidR="005D23F8" w:rsidRDefault="005D23F8" w:rsidP="0054616C">
      <w:pPr>
        <w:pStyle w:val="maintext"/>
        <w:ind w:firstLineChars="0" w:firstLine="0"/>
        <w:rPr>
          <w:rFonts w:ascii="Calibri" w:eastAsiaTheme="minorEastAsia" w:hAnsi="Calibri"/>
          <w:lang w:eastAsia="zh-CN"/>
        </w:rPr>
      </w:pPr>
    </w:p>
    <w:p w14:paraId="2738ECCD" w14:textId="77777777" w:rsidR="005D23F8" w:rsidRDefault="005D23F8" w:rsidP="005D23F8">
      <w:pPr>
        <w:pStyle w:val="maintext"/>
        <w:ind w:firstLineChars="0" w:firstLine="0"/>
        <w:rPr>
          <w:rFonts w:ascii="Calibri" w:hAnsi="Calibri"/>
          <w:b/>
        </w:rPr>
      </w:pPr>
      <w:r w:rsidRPr="0054209F">
        <w:rPr>
          <w:rFonts w:ascii="Calibri" w:hAnsi="Calibri"/>
          <w:b/>
        </w:rPr>
        <w:t>Proposal</w:t>
      </w:r>
      <w:r>
        <w:rPr>
          <w:rFonts w:ascii="Calibri" w:hAnsi="Calibri"/>
          <w:b/>
        </w:rPr>
        <w:t>-1</w:t>
      </w:r>
      <w:r w:rsidRPr="0054209F">
        <w:rPr>
          <w:rFonts w:ascii="Calibri" w:hAnsi="Calibri"/>
          <w:b/>
        </w:rPr>
        <w:t xml:space="preserve">: Dual connectivity framework can support NR UU interface as MCG to control NR and LTE sidelink as SCG. </w:t>
      </w:r>
    </w:p>
    <w:p w14:paraId="49EF789D" w14:textId="77777777" w:rsidR="00EC2C59" w:rsidRDefault="00EC2C59" w:rsidP="00EC2C59">
      <w:pPr>
        <w:pStyle w:val="maintext"/>
        <w:ind w:firstLineChars="0" w:firstLine="0"/>
        <w:rPr>
          <w:rFonts w:ascii="Calibri" w:hAnsi="Calibri"/>
          <w:b/>
        </w:rPr>
      </w:pPr>
      <w:r w:rsidRPr="0054209F">
        <w:rPr>
          <w:rFonts w:ascii="Calibri" w:hAnsi="Calibri"/>
          <w:b/>
        </w:rPr>
        <w:t>Proposal</w:t>
      </w:r>
      <w:r>
        <w:rPr>
          <w:rFonts w:ascii="Calibri" w:hAnsi="Calibri"/>
          <w:b/>
        </w:rPr>
        <w:t>-2</w:t>
      </w:r>
      <w:r w:rsidRPr="0054209F">
        <w:rPr>
          <w:rFonts w:ascii="Calibri" w:hAnsi="Calibri"/>
          <w:b/>
        </w:rPr>
        <w:t xml:space="preserve">: </w:t>
      </w:r>
      <w:r>
        <w:rPr>
          <w:rFonts w:ascii="Calibri" w:hAnsi="Calibri"/>
          <w:b/>
        </w:rPr>
        <w:t xml:space="preserve">The sidelink (between UEs or between local manager and UE) is considered as a “diet” connection in dual connectivity framework. </w:t>
      </w:r>
    </w:p>
    <w:p w14:paraId="2E4EFC7C" w14:textId="77777777" w:rsidR="005D23F8" w:rsidRDefault="005D23F8" w:rsidP="0054616C">
      <w:pPr>
        <w:pStyle w:val="maintext"/>
        <w:ind w:firstLineChars="0" w:firstLine="0"/>
        <w:rPr>
          <w:rFonts w:ascii="Calibri" w:eastAsiaTheme="minorEastAsia" w:hAnsi="Calibri"/>
          <w:lang w:eastAsia="zh-CN"/>
        </w:rPr>
      </w:pPr>
    </w:p>
    <w:p w14:paraId="634B9308" w14:textId="77777777" w:rsidR="006E21F5" w:rsidRDefault="006E21F5" w:rsidP="0054616C">
      <w:pPr>
        <w:pStyle w:val="maintext"/>
        <w:ind w:firstLineChars="0" w:firstLine="0"/>
        <w:rPr>
          <w:rFonts w:ascii="Calibri" w:eastAsiaTheme="minorEastAsia" w:hAnsi="Calibri"/>
          <w:lang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65E3E" w14:textId="77777777" w:rsidR="006A46D6" w:rsidRDefault="006A46D6" w:rsidP="00424124">
      <w:pPr>
        <w:spacing w:before="0" w:after="0"/>
      </w:pPr>
      <w:r>
        <w:separator/>
      </w:r>
    </w:p>
  </w:endnote>
  <w:endnote w:type="continuationSeparator" w:id="0">
    <w:p w14:paraId="4BF12502" w14:textId="77777777" w:rsidR="006A46D6" w:rsidRDefault="006A46D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79039" w14:textId="77777777" w:rsidR="006A46D6" w:rsidRDefault="006A46D6" w:rsidP="00424124">
      <w:pPr>
        <w:spacing w:before="0" w:after="0"/>
      </w:pPr>
      <w:r>
        <w:separator/>
      </w:r>
    </w:p>
  </w:footnote>
  <w:footnote w:type="continuationSeparator" w:id="0">
    <w:p w14:paraId="321F878D" w14:textId="77777777" w:rsidR="006A46D6" w:rsidRDefault="006A46D6"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11146D"/>
    <w:multiLevelType w:val="hybridMultilevel"/>
    <w:tmpl w:val="DFB0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622B83"/>
    <w:multiLevelType w:val="hybridMultilevel"/>
    <w:tmpl w:val="B69AA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5"/>
  </w:num>
  <w:num w:numId="4">
    <w:abstractNumId w:val="10"/>
  </w:num>
  <w:num w:numId="5">
    <w:abstractNumId w:val="6"/>
  </w:num>
  <w:num w:numId="6">
    <w:abstractNumId w:val="2"/>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13"/>
  </w:num>
  <w:num w:numId="12">
    <w:abstractNumId w:val="12"/>
  </w:num>
  <w:num w:numId="13">
    <w:abstractNumId w:val="5"/>
  </w:num>
  <w:num w:numId="14">
    <w:abstractNumId w:val="18"/>
  </w:num>
  <w:num w:numId="15">
    <w:abstractNumId w:val="17"/>
  </w:num>
  <w:num w:numId="16">
    <w:abstractNumId w:val="9"/>
  </w:num>
  <w:num w:numId="17">
    <w:abstractNumId w:val="14"/>
  </w:num>
  <w:num w:numId="18">
    <w:abstractNumId w:val="4"/>
  </w:num>
  <w:num w:numId="19">
    <w:abstractNumId w:val="0"/>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33BC1"/>
    <w:rsid w:val="00034DFC"/>
    <w:rsid w:val="0004375F"/>
    <w:rsid w:val="00046BC3"/>
    <w:rsid w:val="00051B4B"/>
    <w:rsid w:val="000541F8"/>
    <w:rsid w:val="00054618"/>
    <w:rsid w:val="00054EAD"/>
    <w:rsid w:val="000550BC"/>
    <w:rsid w:val="00057E41"/>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4899"/>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B7BE1"/>
    <w:rsid w:val="000C57B9"/>
    <w:rsid w:val="000C785E"/>
    <w:rsid w:val="000D02F7"/>
    <w:rsid w:val="000E2254"/>
    <w:rsid w:val="000E2603"/>
    <w:rsid w:val="000E29D8"/>
    <w:rsid w:val="000E3A7F"/>
    <w:rsid w:val="000E4D11"/>
    <w:rsid w:val="000E4D69"/>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094E"/>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6A24"/>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4BC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0737D"/>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4EF"/>
    <w:rsid w:val="00383782"/>
    <w:rsid w:val="00384225"/>
    <w:rsid w:val="003859F3"/>
    <w:rsid w:val="0038614D"/>
    <w:rsid w:val="00386642"/>
    <w:rsid w:val="003903A5"/>
    <w:rsid w:val="003908FF"/>
    <w:rsid w:val="00391770"/>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6B21"/>
    <w:rsid w:val="003E7121"/>
    <w:rsid w:val="003F0731"/>
    <w:rsid w:val="003F0F3F"/>
    <w:rsid w:val="003F0F7A"/>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1D19"/>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09F"/>
    <w:rsid w:val="00542AAE"/>
    <w:rsid w:val="00543ED4"/>
    <w:rsid w:val="005448C6"/>
    <w:rsid w:val="0054616C"/>
    <w:rsid w:val="0054687C"/>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3F8"/>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206"/>
    <w:rsid w:val="00632893"/>
    <w:rsid w:val="006338FB"/>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46D6"/>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264D"/>
    <w:rsid w:val="00733045"/>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3FD2"/>
    <w:rsid w:val="00764AFE"/>
    <w:rsid w:val="00775AAE"/>
    <w:rsid w:val="00777AA8"/>
    <w:rsid w:val="00782CDC"/>
    <w:rsid w:val="00782F44"/>
    <w:rsid w:val="00783676"/>
    <w:rsid w:val="007839F9"/>
    <w:rsid w:val="00790F25"/>
    <w:rsid w:val="00791183"/>
    <w:rsid w:val="00794BFD"/>
    <w:rsid w:val="00796CBC"/>
    <w:rsid w:val="007A2765"/>
    <w:rsid w:val="007A2A0C"/>
    <w:rsid w:val="007A3629"/>
    <w:rsid w:val="007A553F"/>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0203"/>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230F"/>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757C4"/>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CBB"/>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473A2"/>
    <w:rsid w:val="00A55FF3"/>
    <w:rsid w:val="00A57808"/>
    <w:rsid w:val="00A603CE"/>
    <w:rsid w:val="00A60A9B"/>
    <w:rsid w:val="00A62E92"/>
    <w:rsid w:val="00A645BE"/>
    <w:rsid w:val="00A64CF7"/>
    <w:rsid w:val="00A66A04"/>
    <w:rsid w:val="00A671C9"/>
    <w:rsid w:val="00A70C2F"/>
    <w:rsid w:val="00A717FF"/>
    <w:rsid w:val="00A73884"/>
    <w:rsid w:val="00A74A89"/>
    <w:rsid w:val="00A85753"/>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C73D2"/>
    <w:rsid w:val="00AD115D"/>
    <w:rsid w:val="00AD16AE"/>
    <w:rsid w:val="00AD1894"/>
    <w:rsid w:val="00AD2111"/>
    <w:rsid w:val="00AD4431"/>
    <w:rsid w:val="00AD4E88"/>
    <w:rsid w:val="00AD5332"/>
    <w:rsid w:val="00AD6810"/>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921"/>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0851"/>
    <w:rsid w:val="00BF2C5D"/>
    <w:rsid w:val="00BF31E3"/>
    <w:rsid w:val="00BF56B8"/>
    <w:rsid w:val="00BF6985"/>
    <w:rsid w:val="00BF7EFB"/>
    <w:rsid w:val="00C02D9F"/>
    <w:rsid w:val="00C03451"/>
    <w:rsid w:val="00C06E4E"/>
    <w:rsid w:val="00C07731"/>
    <w:rsid w:val="00C11436"/>
    <w:rsid w:val="00C11C6E"/>
    <w:rsid w:val="00C15AA9"/>
    <w:rsid w:val="00C15BCA"/>
    <w:rsid w:val="00C17F5E"/>
    <w:rsid w:val="00C218A9"/>
    <w:rsid w:val="00C22B1B"/>
    <w:rsid w:val="00C22D5A"/>
    <w:rsid w:val="00C22F8C"/>
    <w:rsid w:val="00C23A2B"/>
    <w:rsid w:val="00C25FFC"/>
    <w:rsid w:val="00C26587"/>
    <w:rsid w:val="00C314D2"/>
    <w:rsid w:val="00C32973"/>
    <w:rsid w:val="00C32EC5"/>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48B3"/>
    <w:rsid w:val="00C9499E"/>
    <w:rsid w:val="00CA06D8"/>
    <w:rsid w:val="00CA6B02"/>
    <w:rsid w:val="00CA6EA3"/>
    <w:rsid w:val="00CB15A7"/>
    <w:rsid w:val="00CB244E"/>
    <w:rsid w:val="00CB36E6"/>
    <w:rsid w:val="00CC2F73"/>
    <w:rsid w:val="00CC683E"/>
    <w:rsid w:val="00CC77F1"/>
    <w:rsid w:val="00CD192C"/>
    <w:rsid w:val="00CD355C"/>
    <w:rsid w:val="00CD4804"/>
    <w:rsid w:val="00CE0C9D"/>
    <w:rsid w:val="00CE2FED"/>
    <w:rsid w:val="00CF0414"/>
    <w:rsid w:val="00CF087D"/>
    <w:rsid w:val="00CF482C"/>
    <w:rsid w:val="00D020B4"/>
    <w:rsid w:val="00D029C0"/>
    <w:rsid w:val="00D031A6"/>
    <w:rsid w:val="00D03B5C"/>
    <w:rsid w:val="00D100FB"/>
    <w:rsid w:val="00D10CDB"/>
    <w:rsid w:val="00D1137D"/>
    <w:rsid w:val="00D1137F"/>
    <w:rsid w:val="00D12AF3"/>
    <w:rsid w:val="00D1374D"/>
    <w:rsid w:val="00D22D54"/>
    <w:rsid w:val="00D235A2"/>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2B07"/>
    <w:rsid w:val="00DA3C1D"/>
    <w:rsid w:val="00DA7BDC"/>
    <w:rsid w:val="00DB04D3"/>
    <w:rsid w:val="00DB0928"/>
    <w:rsid w:val="00DB6F72"/>
    <w:rsid w:val="00DC03FF"/>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065"/>
    <w:rsid w:val="00E174FC"/>
    <w:rsid w:val="00E20070"/>
    <w:rsid w:val="00E20994"/>
    <w:rsid w:val="00E20B90"/>
    <w:rsid w:val="00E22124"/>
    <w:rsid w:val="00E22403"/>
    <w:rsid w:val="00E261AD"/>
    <w:rsid w:val="00E26E5A"/>
    <w:rsid w:val="00E26FAE"/>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1E04"/>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C59"/>
    <w:rsid w:val="00EC2D9F"/>
    <w:rsid w:val="00EC344C"/>
    <w:rsid w:val="00EC3464"/>
    <w:rsid w:val="00EC37FA"/>
    <w:rsid w:val="00EC44E6"/>
    <w:rsid w:val="00EC78AA"/>
    <w:rsid w:val="00ED19D1"/>
    <w:rsid w:val="00ED3375"/>
    <w:rsid w:val="00ED799B"/>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0D44"/>
    <w:rsid w:val="00F21E8F"/>
    <w:rsid w:val="00F261D6"/>
    <w:rsid w:val="00F26DCC"/>
    <w:rsid w:val="00F30E9A"/>
    <w:rsid w:val="00F33B86"/>
    <w:rsid w:val="00F350AF"/>
    <w:rsid w:val="00F35911"/>
    <w:rsid w:val="00F36431"/>
    <w:rsid w:val="00F377FF"/>
    <w:rsid w:val="00F41E7B"/>
    <w:rsid w:val="00F42D43"/>
    <w:rsid w:val="00F43621"/>
    <w:rsid w:val="00F459E5"/>
    <w:rsid w:val="00F47194"/>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B7DDB"/>
    <w:rsid w:val="00FC7576"/>
    <w:rsid w:val="00FD489B"/>
    <w:rsid w:val="00FD530D"/>
    <w:rsid w:val="00FE0217"/>
    <w:rsid w:val="00FE09FC"/>
    <w:rsid w:val="00FE2FF2"/>
    <w:rsid w:val="00FE3A28"/>
    <w:rsid w:val="00FE3D1A"/>
    <w:rsid w:val="00FE4C4C"/>
    <w:rsid w:val="00FE569B"/>
    <w:rsid w:val="00FE6211"/>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F21E8F"/>
    <w:pPr>
      <w:numPr>
        <w:numId w:val="17"/>
      </w:numPr>
      <w:spacing w:before="0" w:after="0"/>
      <w:jc w:val="left"/>
    </w:pPr>
    <w:rPr>
      <w:rFonts w:ascii="Times" w:eastAsia="Batang" w:hAnsi="Times"/>
      <w:szCs w:val="24"/>
      <w:lang w:val="en-GB"/>
    </w:rPr>
  </w:style>
  <w:style w:type="paragraph" w:customStyle="1" w:styleId="bullet2">
    <w:name w:val="bullet2"/>
    <w:basedOn w:val="Normal"/>
    <w:link w:val="bullet2Char"/>
    <w:qFormat/>
    <w:rsid w:val="00F21E8F"/>
    <w:pPr>
      <w:numPr>
        <w:ilvl w:val="1"/>
        <w:numId w:val="17"/>
      </w:numPr>
      <w:spacing w:before="0" w:after="0"/>
      <w:jc w:val="left"/>
    </w:pPr>
    <w:rPr>
      <w:rFonts w:ascii="Times" w:eastAsia="Batang" w:hAnsi="Times"/>
      <w:szCs w:val="24"/>
      <w:lang w:val="en-GB"/>
    </w:rPr>
  </w:style>
  <w:style w:type="character" w:customStyle="1" w:styleId="bullet1Char">
    <w:name w:val="bullet1 Char"/>
    <w:link w:val="bullet1"/>
    <w:rsid w:val="00F21E8F"/>
    <w:rPr>
      <w:rFonts w:ascii="Times" w:eastAsia="Batang" w:hAnsi="Times"/>
      <w:szCs w:val="24"/>
      <w:lang w:val="en-GB" w:eastAsia="en-US"/>
    </w:rPr>
  </w:style>
  <w:style w:type="paragraph" w:customStyle="1" w:styleId="bullet3">
    <w:name w:val="bullet3"/>
    <w:basedOn w:val="Normal"/>
    <w:qFormat/>
    <w:rsid w:val="00F21E8F"/>
    <w:pPr>
      <w:numPr>
        <w:ilvl w:val="2"/>
        <w:numId w:val="17"/>
      </w:numPr>
      <w:spacing w:before="0" w:after="0"/>
      <w:ind w:hanging="180"/>
      <w:jc w:val="left"/>
    </w:pPr>
    <w:rPr>
      <w:rFonts w:ascii="Times" w:eastAsia="Batang" w:hAnsi="Times"/>
      <w:szCs w:val="24"/>
      <w:lang w:val="en-GB"/>
    </w:rPr>
  </w:style>
  <w:style w:type="paragraph" w:customStyle="1" w:styleId="bullet4">
    <w:name w:val="bullet4"/>
    <w:basedOn w:val="Normal"/>
    <w:qFormat/>
    <w:rsid w:val="00F21E8F"/>
    <w:pPr>
      <w:numPr>
        <w:ilvl w:val="3"/>
        <w:numId w:val="17"/>
      </w:numPr>
      <w:spacing w:before="0" w:after="0"/>
      <w:jc w:val="left"/>
    </w:pPr>
    <w:rPr>
      <w:rFonts w:ascii="Times" w:eastAsia="Batang" w:hAnsi="Times"/>
      <w:szCs w:val="24"/>
      <w:lang w:val="en-GB"/>
    </w:rPr>
  </w:style>
  <w:style w:type="character" w:customStyle="1" w:styleId="bullet2Char">
    <w:name w:val="bullet2 Char"/>
    <w:link w:val="bullet2"/>
    <w:rsid w:val="00F21E8F"/>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328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35843834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5C2B2-8682-4370-90C3-A95FE7AC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2019-01-11T16:55:00Z</dcterms:modified>
</cp:coreProperties>
</file>